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4" w:rsidRPr="00FF0940" w:rsidRDefault="00246872" w:rsidP="00A10004">
      <w:pPr>
        <w:ind w:right="-1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</w:t>
      </w:r>
      <w:r w:rsidRPr="00FF09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 УСЛУГИ (П</w:t>
      </w:r>
      <w:r w:rsidRPr="00FF09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ОЦЕССА) </w:t>
      </w:r>
      <w:r w:rsidR="00A10004"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СЕТЕВОЙ ОРГАНИЗАЦИИ</w:t>
      </w:r>
    </w:p>
    <w:p w:rsidR="009A63DF" w:rsidRPr="00FF0940" w:rsidRDefault="00246872" w:rsidP="00A10004">
      <w:pPr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ООО «</w:t>
      </w:r>
      <w:r w:rsidR="00A10004"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Томские электрические сети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A63DF" w:rsidRPr="00FF0940" w:rsidRDefault="009A63DF" w:rsidP="00A10004">
      <w:pPr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3E65D4" w:rsidRDefault="003E65D4" w:rsidP="00A10004">
      <w:pPr>
        <w:spacing w:line="276" w:lineRule="exact"/>
        <w:ind w:right="-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5D4">
        <w:rPr>
          <w:b/>
          <w:lang w:val="ru-RU"/>
        </w:rPr>
        <w:t>Р</w:t>
      </w:r>
      <w:r w:rsidRPr="003E65D4">
        <w:rPr>
          <w:b/>
          <w:lang w:val="ru-RU"/>
        </w:rPr>
        <w:t>асчет объема переданной электрической энергии потребителю</w:t>
      </w:r>
    </w:p>
    <w:p w:rsidR="009A63DF" w:rsidRPr="00FF0940" w:rsidRDefault="009A63DF" w:rsidP="00A10004">
      <w:pPr>
        <w:spacing w:after="5"/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0C06" w:rsidRPr="00800B5E" w:rsidRDefault="00A10004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Круг заявителей: </w:t>
      </w:r>
      <w:r w:rsidR="00800B5E" w:rsidRPr="00800B5E">
        <w:rPr>
          <w:lang w:val="ru-RU"/>
        </w:rPr>
        <w:t>юридические и физические лица, индивидуальные предприниматели</w:t>
      </w:r>
    </w:p>
    <w:p w:rsidR="00B80C06" w:rsidRPr="00FF0940" w:rsidRDefault="00B80C06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FF0940" w:rsidRDefault="00244A9A" w:rsidP="004A7362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>Размер платы за предоставление услуги (процесса) и основание ее взимания:</w:t>
      </w:r>
      <w:r w:rsidR="004A7362"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7362" w:rsidRPr="00FF0940">
        <w:rPr>
          <w:rFonts w:ascii="Times New Roman" w:hAnsi="Times New Roman" w:cs="Times New Roman"/>
          <w:sz w:val="24"/>
          <w:szCs w:val="24"/>
          <w:lang w:val="ru-RU"/>
        </w:rPr>
        <w:t>Плата не взымается</w:t>
      </w:r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4A9A" w:rsidRPr="00FF0940" w:rsidRDefault="00244A9A" w:rsidP="00D71EE7">
      <w:pPr>
        <w:pStyle w:val="a4"/>
        <w:tabs>
          <w:tab w:val="left" w:pos="28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800B5E" w:rsidRDefault="00244A9A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>Условия оказания услуги (процесса):</w:t>
      </w:r>
      <w:r w:rsidR="00246872" w:rsidRPr="00FF0940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="00800B5E" w:rsidRPr="00800B5E">
        <w:rPr>
          <w:lang w:val="ru-RU"/>
        </w:rPr>
        <w:t>наличие заключенного гарантирующим поставщиком в интересах потребителя договора оказания услуг по передаче электрической энергии</w:t>
      </w:r>
    </w:p>
    <w:p w:rsidR="004A7362" w:rsidRPr="00FF0940" w:rsidRDefault="004A7362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D59A4" w:rsidRPr="00ED59A4" w:rsidRDefault="00992B32" w:rsidP="00800B5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 оказания услуги (процесса): </w:t>
      </w:r>
      <w:r w:rsidR="00800B5E" w:rsidRPr="00800B5E">
        <w:rPr>
          <w:lang w:val="ru-RU"/>
        </w:rPr>
        <w:t>расчет объема переданной электрической энергии потребителю</w:t>
      </w:r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0DD7" w:rsidRPr="00FF0940" w:rsidRDefault="00650DD7" w:rsidP="00D71EE7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004" w:rsidRPr="00FF0940" w:rsidRDefault="00A10004" w:rsidP="00A10004">
      <w:pPr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10004" w:rsidRPr="00FF0940" w:rsidSect="00A10004">
          <w:pgSz w:w="11918" w:h="16846"/>
          <w:pgMar w:top="1134" w:right="737" w:bottom="1134" w:left="1134" w:header="709" w:footer="709" w:gutter="0"/>
          <w:cols w:space="720"/>
          <w:docGrid w:linePitch="360"/>
        </w:sectPr>
      </w:pPr>
    </w:p>
    <w:p w:rsidR="00D71EE7" w:rsidRPr="00FF0940" w:rsidRDefault="00246872" w:rsidP="002A322C">
      <w:pPr>
        <w:ind w:left="612" w:right="503"/>
        <w:rPr>
          <w:b/>
          <w:sz w:val="26"/>
          <w:szCs w:val="26"/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71EE7" w:rsidRPr="00FF0940">
        <w:rPr>
          <w:b/>
          <w:sz w:val="26"/>
          <w:szCs w:val="26"/>
          <w:lang w:val="ru-RU"/>
        </w:rPr>
        <w:t>Состав, последовательность и сроки оказания услуги (процесса):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84"/>
        <w:gridCol w:w="2979"/>
        <w:gridCol w:w="2692"/>
        <w:gridCol w:w="1842"/>
        <w:gridCol w:w="3545"/>
        <w:gridCol w:w="1993"/>
      </w:tblGrid>
      <w:tr w:rsidR="00703C94" w:rsidRPr="00B30D54" w:rsidTr="00703C94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rHeight w:val="3029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54" w:rsidRPr="00800B5E" w:rsidRDefault="00800B5E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00B5E">
              <w:rPr>
                <w:lang w:val="ru-RU"/>
              </w:rPr>
              <w:t>Снятие показаний приборов учета электрической энергии потребителем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800B5E" w:rsidRDefault="00800B5E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00B5E">
              <w:rPr>
                <w:lang w:val="ru-RU"/>
              </w:rPr>
              <w:t>заключенный гарантирующим поставщиком в интересах потребителя договор оказания услуг по передаче электрической энергии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800B5E" w:rsidRDefault="00800B5E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00B5E">
              <w:rPr>
                <w:lang w:val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800B5E" w:rsidP="00E21C2C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t>Визуально</w:t>
            </w:r>
            <w:proofErr w:type="spellEnd"/>
            <w:r>
              <w:t xml:space="preserve"> 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800B5E" w:rsidRDefault="00800B5E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00B5E">
              <w:rPr>
                <w:lang w:val="ru-RU"/>
              </w:rPr>
              <w:t>00 часов 00 минут 1-го дня месяца, следующего за расчетным периодом – в отношении приборов учета, установленных в отношении нежилых помещениях</w:t>
            </w:r>
            <w:proofErr w:type="gramStart"/>
            <w:r w:rsidRPr="00800B5E">
              <w:rPr>
                <w:lang w:val="ru-RU"/>
              </w:rPr>
              <w:t>.</w:t>
            </w:r>
            <w:proofErr w:type="gramEnd"/>
            <w:r w:rsidRPr="00800B5E">
              <w:rPr>
                <w:lang w:val="ru-RU"/>
              </w:rPr>
              <w:t xml:space="preserve"> </w:t>
            </w:r>
            <w:proofErr w:type="gramStart"/>
            <w:r w:rsidRPr="00800B5E">
              <w:rPr>
                <w:lang w:val="ru-RU"/>
              </w:rPr>
              <w:t>с</w:t>
            </w:r>
            <w:proofErr w:type="gramEnd"/>
            <w:r w:rsidRPr="00800B5E">
              <w:rPr>
                <w:lang w:val="ru-RU"/>
              </w:rPr>
              <w:t xml:space="preserve"> 23 до окончания 25-го дня расчетного месяца – в отношении коллективных (общедомовых) приборов учета и приборов учета, установленных в жилых домах.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Пункт 157 Основных положений функционирования розничн</w:t>
            </w:r>
            <w:r>
              <w:rPr>
                <w:lang w:val="ru-RU"/>
              </w:rPr>
              <w:t>ых рынков электрической энергии</w:t>
            </w:r>
            <w:r>
              <w:rPr>
                <w:rStyle w:val="a9"/>
                <w:lang w:val="ru-RU"/>
              </w:rPr>
              <w:footnoteReference w:id="1"/>
            </w:r>
          </w:p>
        </w:tc>
      </w:tr>
      <w:tr w:rsidR="00703C94" w:rsidRPr="00B30D54" w:rsidTr="00703C94">
        <w:trPr>
          <w:trHeight w:val="3823"/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Прием показаний расчетных приборов учета от потребителя, в том числе используемых в качестве</w:t>
            </w:r>
            <w:r>
              <w:rPr>
                <w:lang w:val="ru-RU"/>
              </w:rPr>
              <w:t xml:space="preserve"> </w:t>
            </w:r>
            <w:r w:rsidRPr="001E58B0">
              <w:rPr>
                <w:lang w:val="ru-RU"/>
              </w:rPr>
              <w:t>расчетных контрольных приборов учета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Наличие заключенного гарантирующим поставщиком в интересах потребителя договора оказания услуг по передаче электрической энергии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0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  <w:p w:rsidR="001E58B0" w:rsidRPr="001E58B0" w:rsidRDefault="001E58B0" w:rsidP="001E58B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E58B0" w:rsidRPr="001E58B0" w:rsidRDefault="001E58B0" w:rsidP="001E58B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E58B0" w:rsidRDefault="001E58B0" w:rsidP="001E58B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30D54" w:rsidRPr="001E58B0" w:rsidRDefault="00B30D54" w:rsidP="001E58B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Письменное уведомление, с использованием телефонной связи, электронной почты или иным способом,</w:t>
            </w:r>
            <w:r>
              <w:rPr>
                <w:lang w:val="ru-RU"/>
              </w:rPr>
              <w:t xml:space="preserve"> </w:t>
            </w:r>
            <w:r w:rsidRPr="001E58B0">
              <w:rPr>
                <w:lang w:val="ru-RU"/>
              </w:rPr>
              <w:t>позволяющим подтвердить факт получения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В соответствии с договором оказания услуг по передаче электрической энергии. Если дата и время снятия показаний расчетный приборов учета не установлены договором оказания услуг по передаче электрической энергии, то</w:t>
            </w:r>
            <w:r>
              <w:rPr>
                <w:lang w:val="ru-RU"/>
              </w:rPr>
              <w:t xml:space="preserve"> </w:t>
            </w:r>
            <w:r w:rsidRPr="001E58B0">
              <w:rPr>
                <w:lang w:val="ru-RU"/>
              </w:rPr>
              <w:t>до окончания 26-го дня расчетного месяца – в отношении коллективных (общедомовых) приборов учета, а также приборов учета, установленных в отношении нежилых помещений многоквартирного дома, электроснабжение которых осуществляется с использованием общего имущества многоквартирного дома, установленных в отношении жилых домов</w:t>
            </w:r>
            <w:proofErr w:type="gramStart"/>
            <w:r w:rsidRPr="001E58B0">
              <w:rPr>
                <w:lang w:val="ru-RU"/>
              </w:rPr>
              <w:t>.</w:t>
            </w:r>
            <w:proofErr w:type="gramEnd"/>
            <w:r w:rsidRPr="001E58B0">
              <w:rPr>
                <w:lang w:val="ru-RU"/>
              </w:rPr>
              <w:t xml:space="preserve"> </w:t>
            </w:r>
            <w:proofErr w:type="gramStart"/>
            <w:r w:rsidRPr="001E58B0">
              <w:rPr>
                <w:lang w:val="ru-RU"/>
              </w:rPr>
              <w:t>д</w:t>
            </w:r>
            <w:proofErr w:type="gramEnd"/>
            <w:r w:rsidRPr="001E58B0">
              <w:rPr>
                <w:lang w:val="ru-RU"/>
              </w:rPr>
              <w:t>о окончания 1-го дня месяца, следующего за расчетным периодом – в отношении иных приборов учета.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Пункт 159, 160 Основных положений функционирования розничных рынков электрической энергии</w:t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rHeight w:val="4045"/>
          <w:tblHeader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1E58B0">
              <w:rPr>
                <w:lang w:val="ru-RU"/>
              </w:rPr>
              <w:t>энергосбытовой</w:t>
            </w:r>
            <w:proofErr w:type="spellEnd"/>
            <w:r w:rsidRPr="001E58B0">
              <w:rPr>
                <w:lang w:val="ru-RU"/>
              </w:rPr>
              <w:t xml:space="preserve">, </w:t>
            </w:r>
            <w:proofErr w:type="spellStart"/>
            <w:r w:rsidRPr="001E58B0">
              <w:rPr>
                <w:lang w:val="ru-RU"/>
              </w:rPr>
              <w:t>энергоснабжающе</w:t>
            </w:r>
            <w:proofErr w:type="spellEnd"/>
            <w:r w:rsidRPr="001E58B0">
              <w:rPr>
                <w:lang w:val="ru-RU"/>
              </w:rPr>
              <w:t xml:space="preserve"> й организации)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1E58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1E58B0">
              <w:rPr>
                <w:lang w:val="ru-RU"/>
              </w:rPr>
              <w:t>энергосбытовой</w:t>
            </w:r>
            <w:proofErr w:type="spellEnd"/>
            <w:r w:rsidRPr="001E58B0">
              <w:rPr>
                <w:lang w:val="ru-RU"/>
              </w:rPr>
              <w:t xml:space="preserve">, </w:t>
            </w:r>
            <w:proofErr w:type="spellStart"/>
            <w:r w:rsidRPr="001E58B0">
              <w:rPr>
                <w:lang w:val="ru-RU"/>
              </w:rPr>
              <w:t>энергоснабжающей</w:t>
            </w:r>
            <w:proofErr w:type="spellEnd"/>
            <w:r w:rsidRPr="001E58B0">
              <w:rPr>
                <w:lang w:val="ru-RU"/>
              </w:rPr>
              <w:t xml:space="preserve"> организации)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58B0">
              <w:rPr>
                <w:lang w:val="ru-RU"/>
              </w:rPr>
              <w:t>До окончания 2-го числа месяца следующего за расчетным периодом.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58B0">
              <w:rPr>
                <w:lang w:val="ru-RU"/>
              </w:rPr>
              <w:t>Пункт 160 Основных положений функционирования розничных рынков электрической энергии</w:t>
            </w:r>
          </w:p>
        </w:tc>
      </w:tr>
      <w:tr w:rsidR="00B76892" w:rsidRPr="00B30D54" w:rsidTr="00703C94">
        <w:trPr>
          <w:trHeight w:val="1395"/>
          <w:tblHeader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76892">
              <w:rPr>
                <w:lang w:val="ru-RU"/>
              </w:rPr>
              <w:t>Определение объемов переданной электрической энергии потребителю: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1E58B0" w:rsidRDefault="00B76892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1E58B0" w:rsidRDefault="00B76892" w:rsidP="001E58B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1E58B0" w:rsidRDefault="00B76892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1E58B0" w:rsidRDefault="00B76892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1E58B0" w:rsidRDefault="00B76892" w:rsidP="00E21C2C">
            <w:pPr>
              <w:autoSpaceDE w:val="0"/>
              <w:autoSpaceDN w:val="0"/>
              <w:adjustRightInd w:val="0"/>
              <w:ind w:left="-16" w:hanging="16"/>
              <w:jc w:val="both"/>
              <w:rPr>
                <w:lang w:val="ru-RU"/>
              </w:rPr>
            </w:pPr>
          </w:p>
        </w:tc>
      </w:tr>
      <w:tr w:rsidR="00B76892" w:rsidRPr="00B30D54" w:rsidTr="00703C94">
        <w:trPr>
          <w:trHeight w:val="4125"/>
          <w:tblHeader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Default="00B76892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4.1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76892">
              <w:rPr>
                <w:lang w:val="ru-RU"/>
              </w:rPr>
              <w:t>Определение объемов переданной электрической энергии по показаниям расчетных приборов учета электрической энергии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B7689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76892">
              <w:rPr>
                <w:lang w:val="ru-RU"/>
              </w:rPr>
              <w:t xml:space="preserve">Потребителем своевременно представлены показания приборов учета, или получены данные с АИИС КУЭ (в том числе в случае истечения </w:t>
            </w:r>
            <w:proofErr w:type="spellStart"/>
            <w:r w:rsidRPr="00B76892">
              <w:rPr>
                <w:lang w:val="ru-RU"/>
              </w:rPr>
              <w:t>межповерочного</w:t>
            </w:r>
            <w:proofErr w:type="spellEnd"/>
            <w:r w:rsidRPr="00B76892">
              <w:rPr>
                <w:lang w:val="ru-RU"/>
              </w:rPr>
              <w:t xml:space="preserve"> интервала измерительных трансформаторов</w:t>
            </w:r>
            <w:r>
              <w:rPr>
                <w:lang w:val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1E58B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 xml:space="preserve">Расчет объемов переданной </w:t>
            </w:r>
            <w:proofErr w:type="gramStart"/>
            <w:r w:rsidRPr="00B76892">
              <w:rPr>
                <w:lang w:val="ru-RU"/>
              </w:rPr>
              <w:t>электроэнергии</w:t>
            </w:r>
            <w:proofErr w:type="gramEnd"/>
            <w:r w:rsidRPr="00B76892">
              <w:rPr>
                <w:lang w:val="ru-RU"/>
              </w:rPr>
              <w:t xml:space="preserve"> на основании переданных потребителем показаний или данных, полученных с АИИС КУЭ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76892">
              <w:rPr>
                <w:lang w:val="ru-RU"/>
              </w:rPr>
              <w:t>Письменно, с использованием программного обеспечения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76892">
              <w:rPr>
                <w:lang w:val="ru-RU"/>
              </w:rPr>
              <w:t>до 10-го числа месяца, следующего за расчётным периодом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ind w:left="-16" w:hanging="16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>Пункт 140, 194 Основных положений функционирования розничных рынков электрической энергии</w:t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rHeight w:val="4390"/>
          <w:tblHeader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1E58B0" w:rsidRDefault="001E58B0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</w:t>
            </w:r>
            <w:r w:rsidR="00B7689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>Определение объемов переданной электрической энергии потребителю по показаниям контрольных приборов учета электроэнергии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 xml:space="preserve">Отсутствие показаний расчетных приборов учета электрической энергии у сетевой организации в сроки, указанные в п. 159 Основных положений </w:t>
            </w:r>
            <w:proofErr w:type="spellStart"/>
            <w:proofErr w:type="gramStart"/>
            <w:r w:rsidRPr="00B76892">
              <w:rPr>
                <w:lang w:val="ru-RU"/>
              </w:rPr>
              <w:t>функционировани</w:t>
            </w:r>
            <w:proofErr w:type="spellEnd"/>
            <w:r w:rsidRPr="00B76892">
              <w:rPr>
                <w:lang w:val="ru-RU"/>
              </w:rPr>
              <w:t xml:space="preserve"> я</w:t>
            </w:r>
            <w:proofErr w:type="gramEnd"/>
            <w:r w:rsidRPr="00B76892">
              <w:rPr>
                <w:lang w:val="ru-RU"/>
              </w:rPr>
              <w:t xml:space="preserve"> розничных рынков электрической энергии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>Письменно, с использованием программного обеспечения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>до 10 числа месяца следующего за расчетным периодом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>Пункт 164, 194 Основных положений функционирования розничных рынков электрической энергии</w:t>
            </w:r>
          </w:p>
        </w:tc>
      </w:tr>
      <w:tr w:rsidR="00B76892" w:rsidRPr="00B30D54" w:rsidTr="00703C94">
        <w:trPr>
          <w:trHeight w:val="5098"/>
          <w:tblHeader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Default="00B76892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t>4.3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>Определение объемов переданной</w:t>
            </w:r>
            <w:r>
              <w:rPr>
                <w:lang w:val="ru-RU"/>
              </w:rPr>
              <w:t xml:space="preserve"> </w:t>
            </w:r>
            <w:r w:rsidRPr="00B76892">
              <w:rPr>
                <w:lang w:val="ru-RU"/>
              </w:rPr>
              <w:t>электрической энергии потребителю расчетным способом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>Не предоставление показаний расчетных и</w:t>
            </w:r>
            <w:r>
              <w:rPr>
                <w:lang w:val="ru-RU"/>
              </w:rPr>
              <w:t xml:space="preserve"> </w:t>
            </w:r>
            <w:r w:rsidRPr="00B76892">
              <w:rPr>
                <w:lang w:val="ru-RU"/>
              </w:rPr>
              <w:t xml:space="preserve">контрольных приборов учета электрической энергии в адрес сетевой организации в сроки, согласно п. 159 Основных положений </w:t>
            </w:r>
            <w:proofErr w:type="spellStart"/>
            <w:r w:rsidRPr="00B76892">
              <w:rPr>
                <w:lang w:val="ru-RU"/>
              </w:rPr>
              <w:t>функционировани</w:t>
            </w:r>
            <w:proofErr w:type="spellEnd"/>
            <w:r w:rsidRPr="00B76892">
              <w:rPr>
                <w:lang w:val="ru-RU"/>
              </w:rPr>
              <w:t xml:space="preserve"> я розничных рынков электрической энергии: </w:t>
            </w:r>
            <w:proofErr w:type="gramStart"/>
            <w:r w:rsidRPr="00B76892">
              <w:rPr>
                <w:lang w:val="ru-RU"/>
              </w:rPr>
              <w:t>-ю</w:t>
            </w:r>
            <w:proofErr w:type="gramEnd"/>
            <w:r w:rsidRPr="00B76892">
              <w:rPr>
                <w:lang w:val="ru-RU"/>
              </w:rPr>
              <w:t>ридическими лицами (за исключением исполнителей коммунальных услуг; - физическими лицами и исполнителями коммунальных услуг с расчетного периода, за который потребителем не</w:t>
            </w:r>
            <w:r>
              <w:rPr>
                <w:lang w:val="ru-RU"/>
              </w:rPr>
              <w:t xml:space="preserve"> </w:t>
            </w:r>
            <w:r w:rsidRPr="00B76892">
              <w:rPr>
                <w:lang w:val="ru-RU"/>
              </w:rPr>
              <w:t>представлены показания прибора учета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703C9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>Определение объемов переданной электрической энергии</w:t>
            </w:r>
            <w:r>
              <w:rPr>
                <w:lang w:val="ru-RU"/>
              </w:rPr>
              <w:t xml:space="preserve"> </w:t>
            </w:r>
            <w:r w:rsidRPr="00B76892">
              <w:rPr>
                <w:lang w:val="ru-RU"/>
              </w:rPr>
              <w:t xml:space="preserve">потребителю в отсутствие показаний счетчиков осуществляется: 1. Для потребителей юридических лиц, за исключением исполнителей коммунальных услуг, производится на основании замещающей информации с учетом особенностей, указанных в п. 136 Основных положений функционирования розничных рынков электрической энергии.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>Письменно, с использованием программного</w:t>
            </w:r>
            <w:r>
              <w:rPr>
                <w:lang w:val="ru-RU"/>
              </w:rPr>
              <w:t xml:space="preserve"> </w:t>
            </w:r>
            <w:r w:rsidRPr="00B76892">
              <w:rPr>
                <w:lang w:val="ru-RU"/>
              </w:rPr>
              <w:t>обеспечения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Pr="00B76892" w:rsidRDefault="00B76892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76892">
              <w:rPr>
                <w:lang w:val="ru-RU"/>
              </w:rPr>
              <w:t xml:space="preserve">до 10 числа месяца, следующего за </w:t>
            </w:r>
            <w:proofErr w:type="gramStart"/>
            <w:r w:rsidRPr="00B76892">
              <w:rPr>
                <w:lang w:val="ru-RU"/>
              </w:rPr>
              <w:t>расчетным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>Пункты 179 Основных положений</w:t>
            </w:r>
            <w:r>
              <w:rPr>
                <w:lang w:val="ru-RU"/>
              </w:rPr>
              <w:t xml:space="preserve"> </w:t>
            </w:r>
            <w:r w:rsidRPr="00B76892">
              <w:rPr>
                <w:lang w:val="ru-RU"/>
              </w:rPr>
              <w:t>функционирования розничных рынков электрической энергии</w:t>
            </w: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B76892" w:rsidRPr="00B76892" w:rsidRDefault="00B76892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703C94" w:rsidRPr="00B30D54" w:rsidTr="00E21C2C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rHeight w:val="9634"/>
          <w:tblHeader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jc w:val="both"/>
              <w:rPr>
                <w:lang w:val="ru-RU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B76892" w:rsidRDefault="00703C94" w:rsidP="00E21C2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B76892" w:rsidRDefault="00703C94" w:rsidP="00E21C2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B76892" w:rsidRDefault="00703C94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 xml:space="preserve">2. </w:t>
            </w:r>
            <w:proofErr w:type="gramStart"/>
            <w:r w:rsidRPr="00B76892">
              <w:rPr>
                <w:lang w:val="ru-RU"/>
              </w:rPr>
              <w:t>Для исполнителей коммунальных услуг и физических лиц не более 3 расчетных периодов подряд,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</w:t>
            </w:r>
            <w:r>
              <w:rPr>
                <w:lang w:val="ru-RU"/>
              </w:rPr>
              <w:t xml:space="preserve"> </w:t>
            </w:r>
            <w:r w:rsidRPr="00B76892">
              <w:rPr>
                <w:lang w:val="ru-RU"/>
              </w:rPr>
              <w:t>работы прибора учета составил меньше 6 месяцев, то за фактический период работы прибора учета, но не менее 3 месяцев.</w:t>
            </w:r>
            <w:proofErr w:type="gramEnd"/>
            <w:r w:rsidRPr="00B76892">
              <w:rPr>
                <w:lang w:val="ru-RU"/>
              </w:rPr>
              <w:t xml:space="preserve"> Если период работы прибора учета составил меньше 3 месяцев, то исходя из нормативов потребления электрической энергии. Начиная с 4-го и в последующие расчетные периоды подряд - исходя из нормативов потребления электрической энергии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B76892" w:rsidRDefault="00703C94" w:rsidP="00E21C2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B76892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B76892" w:rsidRDefault="00703C94" w:rsidP="00B768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76892">
              <w:rPr>
                <w:lang w:val="ru-RU"/>
              </w:rPr>
              <w:t>Пункт 59, 60 Правил пр</w:t>
            </w:r>
            <w:r>
              <w:rPr>
                <w:lang w:val="ru-RU"/>
              </w:rPr>
              <w:t>едоставления коммунальных услуг</w:t>
            </w:r>
            <w:r>
              <w:rPr>
                <w:rStyle w:val="a9"/>
                <w:lang w:val="ru-RU"/>
              </w:rPr>
              <w:footnoteReference w:id="2"/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rHeight w:val="4612"/>
          <w:tblHeader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4.4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>Наличие двух (составленных подряд) актов об отказе в доступе к приборам учета электрической энергии для проведения контрольного снятия показаний и (или) для проведения проверки приборов учета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C00216" w:rsidRDefault="00B76892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 xml:space="preserve">Определение объемов переданной электрической энергии потребителю при 2- кратном </w:t>
            </w:r>
            <w:proofErr w:type="spellStart"/>
            <w:r w:rsidRPr="00B76892">
              <w:rPr>
                <w:lang w:val="ru-RU"/>
              </w:rPr>
              <w:t>недопуске</w:t>
            </w:r>
            <w:proofErr w:type="spellEnd"/>
            <w:r w:rsidRPr="00B76892">
              <w:rPr>
                <w:lang w:val="ru-RU"/>
              </w:rPr>
              <w:t xml:space="preserve"> к счетчикам осуществляется для потребителей юридических лиц, за исключением исполнителей коммунальных услуг, с даты 2-го </w:t>
            </w:r>
            <w:proofErr w:type="spellStart"/>
            <w:r w:rsidRPr="00B76892">
              <w:rPr>
                <w:lang w:val="ru-RU"/>
              </w:rPr>
              <w:t>недопуска</w:t>
            </w:r>
            <w:proofErr w:type="spellEnd"/>
            <w:r w:rsidRPr="00B76892">
              <w:rPr>
                <w:lang w:val="ru-RU"/>
              </w:rPr>
              <w:t xml:space="preserve"> вплоть до даты допуска к расчетному прибору учета исходя из увеличенных в 1,5 раза</w:t>
            </w:r>
            <w:r w:rsidR="00C00216">
              <w:rPr>
                <w:lang w:val="ru-RU"/>
              </w:rPr>
              <w:t xml:space="preserve"> </w:t>
            </w:r>
            <w:r w:rsidR="00C00216" w:rsidRPr="00C00216">
              <w:rPr>
                <w:lang w:val="ru-RU"/>
              </w:rPr>
              <w:t>значений, определенных на основании контрольного прибора учета, а при его отсутстви</w:t>
            </w:r>
            <w:proofErr w:type="gramStart"/>
            <w:r w:rsidR="00C00216" w:rsidRPr="00C00216">
              <w:rPr>
                <w:lang w:val="ru-RU"/>
              </w:rPr>
              <w:t>и-</w:t>
            </w:r>
            <w:proofErr w:type="gramEnd"/>
            <w:r w:rsidR="00C00216" w:rsidRPr="00C00216">
              <w:rPr>
                <w:lang w:val="ru-RU"/>
              </w:rPr>
              <w:t xml:space="preserve"> исходя из увеличенных значений, определенных на основании замещающей информации.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76892" w:rsidRDefault="00B76892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76892">
              <w:rPr>
                <w:lang w:val="ru-RU"/>
              </w:rPr>
              <w:t>Письменно, с использованием программного обеспечения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C00216" w:rsidRDefault="00C00216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0216">
              <w:rPr>
                <w:lang w:val="ru-RU"/>
              </w:rPr>
              <w:t xml:space="preserve">до 10 числа месяца, следующего за </w:t>
            </w:r>
            <w:proofErr w:type="gramStart"/>
            <w:r w:rsidRPr="00C00216">
              <w:rPr>
                <w:lang w:val="ru-RU"/>
              </w:rPr>
              <w:t>расчетным</w:t>
            </w:r>
            <w:proofErr w:type="gramEnd"/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C00216" w:rsidRDefault="00C00216" w:rsidP="00E21C2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0216">
              <w:rPr>
                <w:lang w:val="ru-RU"/>
              </w:rPr>
              <w:t>Пункт 182 Основных положений функционирования розничных рынков электрической энергии</w:t>
            </w:r>
          </w:p>
        </w:tc>
      </w:tr>
      <w:tr w:rsidR="00C00216" w:rsidRPr="00B30D54" w:rsidTr="00703C94">
        <w:trPr>
          <w:trHeight w:val="4612"/>
          <w:tblHeader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6" w:rsidRDefault="00C00216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lastRenderedPageBreak/>
              <w:t>4.5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6" w:rsidRPr="00C00216" w:rsidRDefault="00C00216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6" w:rsidRPr="00C00216" w:rsidRDefault="00C00216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 xml:space="preserve">При </w:t>
            </w:r>
            <w:proofErr w:type="spellStart"/>
            <w:r w:rsidRPr="00C00216">
              <w:rPr>
                <w:lang w:val="ru-RU"/>
              </w:rPr>
              <w:t>недопуске</w:t>
            </w:r>
            <w:proofErr w:type="spellEnd"/>
            <w:r w:rsidRPr="00C00216">
              <w:rPr>
                <w:lang w:val="ru-RU"/>
              </w:rPr>
              <w:t xml:space="preserve"> 2 и более раз к приборам учета электрической энергии для проверки </w:t>
            </w:r>
            <w:proofErr w:type="gramStart"/>
            <w:r w:rsidRPr="00C00216">
              <w:rPr>
                <w:lang w:val="ru-RU"/>
              </w:rPr>
              <w:t>состояния</w:t>
            </w:r>
            <w:proofErr w:type="gramEnd"/>
            <w:r w:rsidRPr="00C00216">
              <w:rPr>
                <w:lang w:val="ru-RU"/>
              </w:rPr>
              <w:t xml:space="preserve"> установленного и введенного в эксплуатацию прибора учета и (или) для проверки достоверности сведений о показаниях приборов учета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6" w:rsidRDefault="00C00216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 xml:space="preserve">Определение объемов переданной электрической энергии потребителю при 2- кратном </w:t>
            </w:r>
            <w:proofErr w:type="spellStart"/>
            <w:r w:rsidRPr="00C00216">
              <w:rPr>
                <w:lang w:val="ru-RU"/>
              </w:rPr>
              <w:t>недопуске</w:t>
            </w:r>
            <w:proofErr w:type="spellEnd"/>
            <w:r w:rsidRPr="00C00216">
              <w:rPr>
                <w:lang w:val="ru-RU"/>
              </w:rPr>
              <w:t xml:space="preserve"> к счетчикам: 1. Для исполнителей коммунальных услуг определяется в соответствии с подпунктом </w:t>
            </w:r>
            <w:proofErr w:type="gramStart"/>
            <w:r w:rsidRPr="00C00216">
              <w:rPr>
                <w:lang w:val="ru-RU"/>
              </w:rPr>
              <w:t>в</w:t>
            </w:r>
            <w:proofErr w:type="gramEnd"/>
            <w:r w:rsidRPr="00C00216">
              <w:rPr>
                <w:lang w:val="ru-RU"/>
              </w:rPr>
              <w:t xml:space="preserve"> пункта 21 Правил, обязательных при заключении договоров с </w:t>
            </w:r>
            <w:proofErr w:type="spellStart"/>
            <w:r w:rsidRPr="00C00216">
              <w:rPr>
                <w:lang w:val="ru-RU"/>
              </w:rPr>
              <w:t>ресурсоснабжающими</w:t>
            </w:r>
            <w:proofErr w:type="spellEnd"/>
            <w:r w:rsidRPr="00C00216">
              <w:rPr>
                <w:lang w:val="ru-RU"/>
              </w:rPr>
              <w:t xml:space="preserve"> организациями</w:t>
            </w:r>
            <w:r>
              <w:rPr>
                <w:rStyle w:val="a9"/>
                <w:lang w:val="ru-RU"/>
              </w:rPr>
              <w:footnoteReference w:id="3"/>
            </w:r>
            <w:r w:rsidRPr="00C00216">
              <w:rPr>
                <w:lang w:val="ru-RU"/>
              </w:rPr>
              <w:t xml:space="preserve"> </w:t>
            </w:r>
          </w:p>
          <w:p w:rsidR="00C00216" w:rsidRPr="00C00216" w:rsidRDefault="00C00216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 xml:space="preserve">2. </w:t>
            </w:r>
            <w:proofErr w:type="gramStart"/>
            <w:r w:rsidRPr="00C00216">
              <w:rPr>
                <w:lang w:val="ru-RU"/>
              </w:rPr>
              <w:t>Для физических лиц с расчетного периода, когда был составлен второй подряд акт об отказе в доступе к приборам учета</w:t>
            </w:r>
            <w:r>
              <w:rPr>
                <w:lang w:val="ru-RU"/>
              </w:rPr>
              <w:t xml:space="preserve"> </w:t>
            </w:r>
            <w:r w:rsidRPr="00C00216">
              <w:rPr>
                <w:lang w:val="ru-RU"/>
              </w:rPr>
              <w:t>электроэнергии вплоть до даты составления акта проверки счетчиков, но не более 3 расчетных периодов подряд,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</w:t>
            </w:r>
            <w:proofErr w:type="gramEnd"/>
            <w:r w:rsidRPr="00C00216">
              <w:rPr>
                <w:lang w:val="ru-RU"/>
              </w:rPr>
              <w:t xml:space="preserve"> 6 месяцев, то за фактический период работы прибора учета, но не менее 3 месяцев. </w:t>
            </w:r>
            <w:proofErr w:type="gramStart"/>
            <w:r w:rsidRPr="00C00216">
              <w:rPr>
                <w:lang w:val="ru-RU"/>
              </w:rPr>
              <w:t>Начиная с 4-го и в последующие расчетные периоды до даты составления акта проверки рассчитывается с учетом</w:t>
            </w:r>
            <w:proofErr w:type="gramEnd"/>
            <w:r w:rsidRPr="00C00216">
              <w:rPr>
                <w:lang w:val="ru-RU"/>
              </w:rPr>
              <w:t xml:space="preserve"> повышающих коэффициентов в соответствии с формулами Приложения № 2 Правил предоставления коммунальных услуг.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C00216" w:rsidRPr="00B76892" w:rsidRDefault="00C00216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6" w:rsidRPr="00C00216" w:rsidRDefault="00C00216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C00216" w:rsidRDefault="00C00216" w:rsidP="00E21C2C">
            <w:pPr>
              <w:rPr>
                <w:lang w:val="ru-RU"/>
              </w:rPr>
            </w:pPr>
            <w:r w:rsidRPr="00C00216">
              <w:rPr>
                <w:lang w:val="ru-RU"/>
              </w:rPr>
              <w:t xml:space="preserve">пункт 21 подпункт «в3 » Правил, обязательных при заключении договоров с </w:t>
            </w:r>
            <w:proofErr w:type="spellStart"/>
            <w:r w:rsidRPr="00C00216">
              <w:rPr>
                <w:lang w:val="ru-RU"/>
              </w:rPr>
              <w:t>ресурсоснабжающи</w:t>
            </w:r>
            <w:proofErr w:type="spellEnd"/>
            <w:r w:rsidRPr="00C00216">
              <w:rPr>
                <w:lang w:val="ru-RU"/>
              </w:rPr>
              <w:t xml:space="preserve"> ми организациями3 </w:t>
            </w: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Pr="00C00216" w:rsidRDefault="00C00216" w:rsidP="00E21C2C">
            <w:pPr>
              <w:rPr>
                <w:lang w:val="ru-RU"/>
              </w:rPr>
            </w:pPr>
            <w:r w:rsidRPr="00C00216">
              <w:rPr>
                <w:lang w:val="ru-RU"/>
              </w:rPr>
              <w:t>Пункты 59 (в), 601 , 85 (г) Правил</w:t>
            </w:r>
            <w:r>
              <w:rPr>
                <w:lang w:val="ru-RU"/>
              </w:rPr>
              <w:t xml:space="preserve"> </w:t>
            </w:r>
            <w:r w:rsidRPr="00C00216">
              <w:rPr>
                <w:lang w:val="ru-RU"/>
              </w:rPr>
              <w:t>предоставления коммунальных услуг</w:t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rHeight w:val="9006"/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C00216" w:rsidRDefault="00C00216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4.6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C00216" w:rsidRDefault="00C00216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0216">
              <w:rPr>
                <w:lang w:val="ru-RU"/>
              </w:rPr>
              <w:t>Определение объемов</w:t>
            </w:r>
            <w:r>
              <w:rPr>
                <w:lang w:val="ru-RU"/>
              </w:rPr>
              <w:t xml:space="preserve"> </w:t>
            </w:r>
            <w:r w:rsidRPr="00C00216">
              <w:rPr>
                <w:lang w:val="ru-RU"/>
              </w:rPr>
              <w:t>переданной электрической энергии потребителю расчетным способом</w:t>
            </w: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C00216" w:rsidRDefault="00C00216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0216">
              <w:rPr>
                <w:lang w:val="ru-RU"/>
              </w:rPr>
              <w:t xml:space="preserve">При </w:t>
            </w:r>
            <w:proofErr w:type="spellStart"/>
            <w:r w:rsidRPr="00C00216">
              <w:rPr>
                <w:lang w:val="ru-RU"/>
              </w:rPr>
              <w:t>недопуске</w:t>
            </w:r>
            <w:proofErr w:type="spellEnd"/>
            <w:r w:rsidRPr="00C00216">
              <w:rPr>
                <w:lang w:val="ru-RU"/>
              </w:rPr>
              <w:t xml:space="preserve"> 2 и более раз к</w:t>
            </w:r>
            <w:r>
              <w:rPr>
                <w:lang w:val="ru-RU"/>
              </w:rPr>
              <w:t xml:space="preserve"> </w:t>
            </w:r>
            <w:r w:rsidRPr="00C00216">
              <w:rPr>
                <w:lang w:val="ru-RU"/>
              </w:rPr>
              <w:t>приборам учета электрической энергии для установки приборов учета, ввода их в эксплуатацию, проверки состояния установленных и введенных в эксплуатацию приборов учета, для проведения работ по обслуживанию приборов учета и подключения их к интеллектуальной электроэнергии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C00216" w:rsidRDefault="00C00216" w:rsidP="00703C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0216">
              <w:rPr>
                <w:lang w:val="ru-RU"/>
              </w:rPr>
              <w:t>Определение объемов переданной</w:t>
            </w:r>
            <w:r>
              <w:rPr>
                <w:lang w:val="ru-RU"/>
              </w:rPr>
              <w:t xml:space="preserve"> </w:t>
            </w:r>
            <w:r w:rsidRPr="00C00216">
              <w:rPr>
                <w:lang w:val="ru-RU"/>
              </w:rPr>
              <w:t xml:space="preserve">электрической энергии потребителю при 2 - кратном </w:t>
            </w:r>
            <w:proofErr w:type="spellStart"/>
            <w:r w:rsidRPr="00C00216">
              <w:rPr>
                <w:lang w:val="ru-RU"/>
              </w:rPr>
              <w:t>недопуске</w:t>
            </w:r>
            <w:proofErr w:type="spellEnd"/>
            <w:r w:rsidRPr="00C00216">
              <w:rPr>
                <w:lang w:val="ru-RU"/>
              </w:rPr>
              <w:t xml:space="preserve"> к счетчикам: 1. </w:t>
            </w:r>
            <w:proofErr w:type="gramStart"/>
            <w:r w:rsidRPr="00C00216">
              <w:rPr>
                <w:lang w:val="ru-RU"/>
              </w:rPr>
              <w:t xml:space="preserve">Для исполнителей коммунальных услуг определяется с расчетного месяца, в котором произошел второй </w:t>
            </w:r>
            <w:proofErr w:type="spellStart"/>
            <w:r w:rsidRPr="00C00216">
              <w:rPr>
                <w:lang w:val="ru-RU"/>
              </w:rPr>
              <w:t>недопуск</w:t>
            </w:r>
            <w:proofErr w:type="spellEnd"/>
            <w:r w:rsidRPr="00C00216">
              <w:rPr>
                <w:lang w:val="ru-RU"/>
              </w:rPr>
              <w:t xml:space="preserve"> до расчетного месяца, в котором гарантирующий поставщик был допущен к совершению действий для установки, замены, допуска в эксплуатацию и (или) подключения прибора учета к интеллектуальной системе учета, с учетом повышающего коэффициента 1,5 умноженного на объем коммунального ресурса, потребленного при содержании общего имущества, определенного ис</w:t>
            </w:r>
            <w:r w:rsidR="00703C94">
              <w:rPr>
                <w:lang w:val="ru-RU"/>
              </w:rPr>
              <w:t>ходя из нормативов потребления.</w:t>
            </w:r>
            <w:r w:rsidRPr="00C00216">
              <w:rPr>
                <w:lang w:val="ru-RU"/>
              </w:rPr>
              <w:t>.</w:t>
            </w:r>
            <w:proofErr w:type="gramEnd"/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Default="00C00216" w:rsidP="00E21C2C">
            <w:pPr>
              <w:rPr>
                <w:lang w:val="ru-RU"/>
              </w:rPr>
            </w:pPr>
            <w:r w:rsidRPr="00C00216">
              <w:rPr>
                <w:lang w:val="ru-RU"/>
              </w:rPr>
              <w:t>пункт 21 подпункт «з» Правил</w:t>
            </w:r>
            <w:r>
              <w:rPr>
                <w:lang w:val="ru-RU"/>
              </w:rPr>
              <w:t xml:space="preserve">, </w:t>
            </w:r>
            <w:r w:rsidRPr="00C00216">
              <w:rPr>
                <w:lang w:val="ru-RU"/>
              </w:rPr>
              <w:t xml:space="preserve">обязательных при заключении договоров с </w:t>
            </w:r>
            <w:proofErr w:type="spellStart"/>
            <w:r w:rsidRPr="00C00216">
              <w:rPr>
                <w:lang w:val="ru-RU"/>
              </w:rPr>
              <w:t>ресурсоснабжающи</w:t>
            </w:r>
            <w:proofErr w:type="spellEnd"/>
            <w:r w:rsidRPr="00C00216">
              <w:rPr>
                <w:lang w:val="ru-RU"/>
              </w:rPr>
              <w:t xml:space="preserve"> ми организациями</w:t>
            </w: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Default="00C00216" w:rsidP="00E21C2C">
            <w:pPr>
              <w:rPr>
                <w:lang w:val="ru-RU"/>
              </w:rPr>
            </w:pPr>
          </w:p>
          <w:p w:rsidR="00C00216" w:rsidRPr="00C00216" w:rsidRDefault="00C00216" w:rsidP="00C0021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03C94" w:rsidRPr="00B30D54" w:rsidTr="00E21C2C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94" w:rsidRPr="00B30D54" w:rsidRDefault="00703C9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Default="00703C94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C00216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C00216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C00216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 xml:space="preserve">2. Для физических лиц с расчетного периода, когда был составлен </w:t>
            </w:r>
            <w:proofErr w:type="spellStart"/>
            <w:proofErr w:type="gramStart"/>
            <w:r w:rsidRPr="00C00216">
              <w:rPr>
                <w:lang w:val="ru-RU"/>
              </w:rPr>
              <w:t>второ</w:t>
            </w:r>
            <w:proofErr w:type="spellEnd"/>
            <w:r w:rsidRPr="00C00216">
              <w:rPr>
                <w:lang w:val="ru-RU"/>
              </w:rPr>
              <w:t xml:space="preserve"> й</w:t>
            </w:r>
            <w:proofErr w:type="gramEnd"/>
            <w:r w:rsidRPr="00C00216">
              <w:rPr>
                <w:lang w:val="ru-RU"/>
              </w:rPr>
              <w:t xml:space="preserve"> подряд акт об отказе в доступе к</w:t>
            </w:r>
            <w:r>
              <w:rPr>
                <w:lang w:val="ru-RU"/>
              </w:rPr>
              <w:t xml:space="preserve"> </w:t>
            </w:r>
            <w:r w:rsidRPr="00C00216">
              <w:rPr>
                <w:lang w:val="ru-RU"/>
              </w:rPr>
              <w:t>приборам учета электроэнергии, исходя из нормативов потребления с применением повышающего коэффициента 1,5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B30D54" w:rsidRDefault="00703C9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B30D54" w:rsidRDefault="00703C9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C00216" w:rsidRDefault="00703C94" w:rsidP="00E21C2C">
            <w:pPr>
              <w:rPr>
                <w:lang w:val="ru-RU"/>
              </w:rPr>
            </w:pPr>
            <w:r w:rsidRPr="00703C94">
              <w:rPr>
                <w:lang w:val="ru-RU"/>
              </w:rPr>
              <w:t>п. 60 3 Правил предоставления</w:t>
            </w:r>
            <w:r>
              <w:rPr>
                <w:lang w:val="ru-RU"/>
              </w:rPr>
              <w:t xml:space="preserve"> </w:t>
            </w:r>
            <w:r w:rsidRPr="00703C94">
              <w:rPr>
                <w:lang w:val="ru-RU"/>
              </w:rPr>
              <w:t>коммунальных услуг</w:t>
            </w:r>
          </w:p>
        </w:tc>
      </w:tr>
      <w:tr w:rsidR="00C00216" w:rsidRPr="00B30D54" w:rsidTr="003E65D4">
        <w:trPr>
          <w:trHeight w:val="6796"/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C00216" w:rsidRDefault="00C00216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4.7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C00216" w:rsidRPr="00C00216" w:rsidRDefault="00C00216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C00216" w:rsidRPr="00C00216" w:rsidRDefault="00C00216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>Отсутствие прибора учета, неисправность, истечение интервала между поверками, истечение срока эксплуатации расчетного прибора учета (при отсутствии контрольного прибора учета)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F0" w:rsidRDefault="00C00216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 xml:space="preserve">Определение объемов переданной электрической энергии осуществляется: 1. Для потребителей юридических лиц, за исключением исполнителей коммунальных услуг, производится на основании замещающей информации с учетом особенностей, указанных в пункте 136 Основных положений функционирования розничных рынков электрической энергии. </w:t>
            </w:r>
          </w:p>
          <w:p w:rsidR="00C00216" w:rsidRPr="00C00216" w:rsidRDefault="00784AF0" w:rsidP="00784A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>периоды подряд - исходя из нормативов потребления электрической энергии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C00216" w:rsidRPr="00C00216" w:rsidRDefault="00C00216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0216">
              <w:rPr>
                <w:lang w:val="ru-RU"/>
              </w:rPr>
              <w:t>Письменно, с использованием программного обеспечения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C00216" w:rsidRPr="00C00216" w:rsidRDefault="00C00216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0216">
              <w:rPr>
                <w:lang w:val="ru-RU"/>
              </w:rPr>
              <w:t xml:space="preserve">до 10 числа месяца, следующего за </w:t>
            </w:r>
            <w:proofErr w:type="gramStart"/>
            <w:r w:rsidRPr="00C00216">
              <w:rPr>
                <w:lang w:val="ru-RU"/>
              </w:rPr>
              <w:t>расчетным</w:t>
            </w:r>
            <w:proofErr w:type="gramEnd"/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C00216" w:rsidRDefault="00784AF0" w:rsidP="00E21C2C">
            <w:pPr>
              <w:rPr>
                <w:lang w:val="ru-RU"/>
              </w:rPr>
            </w:pPr>
            <w:r w:rsidRPr="00784AF0">
              <w:rPr>
                <w:lang w:val="ru-RU"/>
              </w:rPr>
              <w:t>Пункт 179 Основных положений функционирования розничных рынков электрической энергии</w:t>
            </w:r>
          </w:p>
          <w:p w:rsidR="00784AF0" w:rsidRDefault="00784AF0" w:rsidP="00E21C2C">
            <w:pPr>
              <w:rPr>
                <w:lang w:val="ru-RU"/>
              </w:rPr>
            </w:pPr>
          </w:p>
          <w:p w:rsidR="00784AF0" w:rsidRDefault="00784AF0" w:rsidP="00E21C2C">
            <w:pPr>
              <w:rPr>
                <w:lang w:val="ru-RU"/>
              </w:rPr>
            </w:pPr>
          </w:p>
          <w:p w:rsidR="00784AF0" w:rsidRDefault="00784AF0" w:rsidP="00E21C2C">
            <w:pPr>
              <w:rPr>
                <w:lang w:val="ru-RU"/>
              </w:rPr>
            </w:pPr>
          </w:p>
          <w:p w:rsidR="00784AF0" w:rsidRDefault="00784AF0" w:rsidP="00E21C2C">
            <w:pPr>
              <w:rPr>
                <w:lang w:val="ru-RU"/>
              </w:rPr>
            </w:pPr>
          </w:p>
          <w:p w:rsidR="00784AF0" w:rsidRDefault="00784AF0" w:rsidP="00E21C2C">
            <w:pPr>
              <w:rPr>
                <w:lang w:val="ru-RU"/>
              </w:rPr>
            </w:pPr>
          </w:p>
          <w:p w:rsidR="00784AF0" w:rsidRDefault="00784AF0" w:rsidP="00E21C2C">
            <w:pPr>
              <w:rPr>
                <w:lang w:val="ru-RU"/>
              </w:rPr>
            </w:pPr>
          </w:p>
          <w:p w:rsidR="00784AF0" w:rsidRDefault="00784AF0" w:rsidP="00E21C2C">
            <w:pPr>
              <w:rPr>
                <w:lang w:val="ru-RU"/>
              </w:rPr>
            </w:pPr>
          </w:p>
          <w:p w:rsidR="00784AF0" w:rsidRDefault="00784AF0" w:rsidP="00E21C2C">
            <w:pPr>
              <w:rPr>
                <w:lang w:val="ru-RU"/>
              </w:rPr>
            </w:pPr>
          </w:p>
          <w:p w:rsidR="00784AF0" w:rsidRPr="00784AF0" w:rsidRDefault="00784AF0" w:rsidP="00E21C2C">
            <w:pPr>
              <w:rPr>
                <w:lang w:val="ru-RU"/>
              </w:rPr>
            </w:pPr>
          </w:p>
        </w:tc>
      </w:tr>
      <w:tr w:rsidR="003E65D4" w:rsidRPr="00B30D54" w:rsidTr="00E21C2C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3E65D4">
        <w:trPr>
          <w:trHeight w:val="9432"/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Default="00703C94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C00216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C00216" w:rsidRDefault="00703C94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C00216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0216">
              <w:rPr>
                <w:lang w:val="ru-RU"/>
              </w:rPr>
              <w:t xml:space="preserve">2. </w:t>
            </w:r>
            <w:proofErr w:type="gramStart"/>
            <w:r w:rsidRPr="00C00216">
              <w:rPr>
                <w:lang w:val="ru-RU"/>
              </w:rPr>
              <w:t>Для исполнителей коммунальных услуг и физических лиц - не более 3 расчетных периодов подряд, исходя из рассчитанного среднемесячного объема потребления электроэнергии по показаниям расчетных</w:t>
            </w:r>
            <w:r>
              <w:rPr>
                <w:lang w:val="ru-RU"/>
              </w:rPr>
              <w:t xml:space="preserve"> </w:t>
            </w:r>
            <w:r w:rsidRPr="00784AF0">
              <w:rPr>
                <w:lang w:val="ru-RU"/>
              </w:rPr>
              <w:t>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</w:t>
            </w:r>
            <w:proofErr w:type="gramEnd"/>
            <w:r w:rsidRPr="00784AF0">
              <w:rPr>
                <w:lang w:val="ru-RU"/>
              </w:rPr>
              <w:t xml:space="preserve"> Если период работы прибора учета составил меньше 3 месяцев, то исходя из нормативов потребления электрической энергии. Начиная с 4-го и в последующие расчетные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C00216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C00216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84AF0" w:rsidRDefault="00703C94" w:rsidP="00E21C2C">
            <w:pPr>
              <w:rPr>
                <w:lang w:val="ru-RU"/>
              </w:rPr>
            </w:pPr>
            <w:r w:rsidRPr="00784AF0">
              <w:rPr>
                <w:lang w:val="ru-RU"/>
              </w:rPr>
              <w:t>Пункт 59 Правил предоставления коммунальных услуг</w:t>
            </w:r>
          </w:p>
        </w:tc>
      </w:tr>
      <w:tr w:rsidR="003E65D4" w:rsidRPr="00B30D54" w:rsidTr="00E21C2C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84AF0" w:rsidRPr="00B30D54" w:rsidTr="00703C94">
        <w:trPr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Default="00784AF0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4.8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 xml:space="preserve">Отсутствие результатов измерений и информации о состоянии прибора учета по истечении 180 дней </w:t>
            </w:r>
            <w:proofErr w:type="gramStart"/>
            <w:r w:rsidRPr="00784AF0">
              <w:rPr>
                <w:lang w:val="ru-RU"/>
              </w:rPr>
              <w:t>с даты</w:t>
            </w:r>
            <w:proofErr w:type="gramEnd"/>
            <w:r w:rsidRPr="00784AF0">
              <w:rPr>
                <w:lang w:val="ru-RU"/>
              </w:rPr>
              <w:t xml:space="preserve"> последнего снятия показаний с прибора учета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F0" w:rsidRPr="00784AF0" w:rsidRDefault="00784AF0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>Определение объемов переданной электрической энергии осуществляется: 1. Для потребителей юридических лиц, за исключением исполнителей коммунальных услуг, производится на основании замещающей информации. 2. Для исполнителей коммунальных услуг не</w:t>
            </w:r>
            <w:r>
              <w:rPr>
                <w:lang w:val="ru-RU"/>
              </w:rPr>
              <w:t xml:space="preserve"> </w:t>
            </w:r>
            <w:r w:rsidRPr="00784AF0">
              <w:rPr>
                <w:lang w:val="ru-RU"/>
              </w:rPr>
              <w:t>более 3 расчетных периодов подряд,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 Если период работы прибора учета составил меньше 3 месяцев, то исходя из нормативов потребления электрической энергии. Начиная с 4-го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784AF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Письменно</w:t>
            </w:r>
            <w:proofErr w:type="spellEnd"/>
            <w:r>
              <w:t xml:space="preserve">, с </w:t>
            </w:r>
            <w:proofErr w:type="spellStart"/>
            <w:r>
              <w:t>использованием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 xml:space="preserve">до 10 числа месяца, следующего за </w:t>
            </w:r>
            <w:proofErr w:type="gramStart"/>
            <w:r w:rsidRPr="00784AF0">
              <w:rPr>
                <w:lang w:val="ru-RU"/>
              </w:rPr>
              <w:t>расчетным</w:t>
            </w:r>
            <w:proofErr w:type="gramEnd"/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E21C2C">
            <w:pPr>
              <w:rPr>
                <w:lang w:val="ru-RU"/>
              </w:rPr>
            </w:pPr>
            <w:r w:rsidRPr="00784AF0">
              <w:rPr>
                <w:lang w:val="ru-RU"/>
              </w:rPr>
              <w:t>Пункт 179 Основных положений функционирования розничных рынков электрической энергии</w:t>
            </w:r>
          </w:p>
        </w:tc>
      </w:tr>
      <w:tr w:rsidR="003E65D4" w:rsidRPr="00B30D54" w:rsidTr="00E21C2C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84AF0" w:rsidRPr="00B30D54" w:rsidTr="003E65D4">
        <w:trPr>
          <w:trHeight w:val="9857"/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Default="00784AF0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4.9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>Определение объемов переданной электрической энергии потребителю расчетным</w:t>
            </w:r>
            <w:r>
              <w:rPr>
                <w:lang w:val="ru-RU"/>
              </w:rPr>
              <w:t xml:space="preserve"> способом</w:t>
            </w: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>Установка прибора учета не на границе балансовой принадлежности потребителя и сетевой</w:t>
            </w:r>
            <w:r>
              <w:rPr>
                <w:lang w:val="ru-RU"/>
              </w:rPr>
              <w:t xml:space="preserve"> организацией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F0" w:rsidRPr="00784AF0" w:rsidRDefault="00784AF0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>Для юридических лиц и исполнителей коммунальных услуг объем электрической энергии, определенный по счетчику, подлежит корректировке на</w:t>
            </w:r>
            <w:r>
              <w:rPr>
                <w:lang w:val="ru-RU"/>
              </w:rPr>
              <w:t xml:space="preserve"> </w:t>
            </w:r>
            <w:r w:rsidRPr="00784AF0">
              <w:rPr>
                <w:lang w:val="ru-RU"/>
              </w:rPr>
              <w:t>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осуществляет сетевая организация в соответствии с аттестованной методикой.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784A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>Письменно, с использованием программного обеспечения и аттестованной методики</w:t>
            </w:r>
          </w:p>
          <w:p w:rsidR="00784AF0" w:rsidRPr="00784AF0" w:rsidRDefault="00784AF0" w:rsidP="00784AF0">
            <w:pPr>
              <w:rPr>
                <w:lang w:val="ru-RU"/>
              </w:rPr>
            </w:pPr>
          </w:p>
          <w:p w:rsidR="00784AF0" w:rsidRPr="00784AF0" w:rsidRDefault="00784AF0" w:rsidP="00784AF0">
            <w:pPr>
              <w:rPr>
                <w:lang w:val="ru-RU"/>
              </w:rPr>
            </w:pPr>
          </w:p>
          <w:p w:rsidR="00784AF0" w:rsidRDefault="00784AF0" w:rsidP="00784AF0">
            <w:pPr>
              <w:rPr>
                <w:lang w:val="ru-RU"/>
              </w:rPr>
            </w:pPr>
          </w:p>
          <w:p w:rsidR="00784AF0" w:rsidRPr="00784AF0" w:rsidRDefault="00784AF0" w:rsidP="00784AF0">
            <w:pPr>
              <w:jc w:val="right"/>
              <w:rPr>
                <w:lang w:val="ru-RU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84AF0">
              <w:rPr>
                <w:lang w:val="ru-RU"/>
              </w:rPr>
              <w:t xml:space="preserve">до 10 числа месяца, следующего за </w:t>
            </w:r>
            <w:proofErr w:type="gramStart"/>
            <w:r w:rsidRPr="00784AF0">
              <w:rPr>
                <w:lang w:val="ru-RU"/>
              </w:rPr>
              <w:t>расчетным</w:t>
            </w:r>
            <w:proofErr w:type="gramEnd"/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84AF0" w:rsidRPr="00784AF0" w:rsidRDefault="00784AF0" w:rsidP="00E21C2C">
            <w:pPr>
              <w:rPr>
                <w:lang w:val="ru-RU"/>
              </w:rPr>
            </w:pPr>
            <w:r w:rsidRPr="00784AF0">
              <w:rPr>
                <w:lang w:val="ru-RU"/>
              </w:rPr>
              <w:t>Пункты 129, 147, 148 Основных положений функционирования розничных рынков электрической энергии</w:t>
            </w:r>
          </w:p>
        </w:tc>
      </w:tr>
      <w:tr w:rsidR="003E65D4" w:rsidRPr="00B30D54" w:rsidTr="00E21C2C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Default="00703C94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4.10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 xml:space="preserve">Определение объема </w:t>
            </w:r>
            <w:proofErr w:type="spellStart"/>
            <w:r w:rsidRPr="00703C94">
              <w:rPr>
                <w:lang w:val="ru-RU"/>
              </w:rPr>
              <w:t>безучетного</w:t>
            </w:r>
            <w:proofErr w:type="spellEnd"/>
            <w:r w:rsidRPr="00703C94">
              <w:rPr>
                <w:lang w:val="ru-RU"/>
              </w:rPr>
              <w:t xml:space="preserve"> потребления электрической энергии</w:t>
            </w: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 xml:space="preserve">Выявление факта </w:t>
            </w:r>
            <w:proofErr w:type="spellStart"/>
            <w:r w:rsidRPr="00703C94">
              <w:rPr>
                <w:lang w:val="ru-RU"/>
              </w:rPr>
              <w:t>безучетного</w:t>
            </w:r>
            <w:proofErr w:type="spellEnd"/>
            <w:r w:rsidRPr="00703C94">
              <w:rPr>
                <w:lang w:val="ru-RU"/>
              </w:rPr>
              <w:t xml:space="preserve"> потребления электроэнергии и составления акта о неучтенном потреблении электроэнергии</w:t>
            </w:r>
          </w:p>
          <w:p w:rsidR="00703C94" w:rsidRPr="00703C94" w:rsidRDefault="00703C94" w:rsidP="00703C94">
            <w:pPr>
              <w:rPr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703C94" w:rsidRDefault="00703C94" w:rsidP="00703C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 xml:space="preserve">Определение объемов </w:t>
            </w:r>
            <w:proofErr w:type="spellStart"/>
            <w:r w:rsidRPr="00703C94">
              <w:rPr>
                <w:lang w:val="ru-RU"/>
              </w:rPr>
              <w:t>безучетного</w:t>
            </w:r>
            <w:proofErr w:type="spellEnd"/>
            <w:r w:rsidRPr="00703C94">
              <w:rPr>
                <w:lang w:val="ru-RU"/>
              </w:rPr>
              <w:t xml:space="preserve"> потребления электрической энергии потребителем осуществляется </w:t>
            </w:r>
            <w:proofErr w:type="gramStart"/>
            <w:r w:rsidRPr="00703C94">
              <w:rPr>
                <w:lang w:val="ru-RU"/>
              </w:rPr>
              <w:t>с даты</w:t>
            </w:r>
            <w:proofErr w:type="gramEnd"/>
            <w:r w:rsidRPr="00703C94">
              <w:rPr>
                <w:lang w:val="ru-RU"/>
              </w:rPr>
              <w:t xml:space="preserve"> предыдущей проверки прибора учета электрической энергии (в случае если такая проверка не была проведена в запланированные сроки, - определяется с даты, не позднее которой она должна была быть проведена) в следующем порядке: 1. Для потребителей юридических лиц, за исключением</w:t>
            </w:r>
            <w:r>
              <w:rPr>
                <w:lang w:val="ru-RU"/>
              </w:rPr>
              <w:t xml:space="preserve"> </w:t>
            </w:r>
            <w:r w:rsidRPr="00703C94">
              <w:rPr>
                <w:lang w:val="ru-RU"/>
              </w:rPr>
              <w:t>исполнителей коммунальных услуг,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84AF0" w:rsidRDefault="00703C94" w:rsidP="00784AF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Письменно</w:t>
            </w:r>
            <w:proofErr w:type="spellEnd"/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 xml:space="preserve">в течение 2 рабочих дней со дня составления акта о </w:t>
            </w:r>
            <w:proofErr w:type="spellStart"/>
            <w:r w:rsidRPr="00703C94">
              <w:rPr>
                <w:lang w:val="ru-RU"/>
              </w:rPr>
              <w:t>безучетном</w:t>
            </w:r>
            <w:proofErr w:type="spellEnd"/>
            <w:r w:rsidRPr="00703C94">
              <w:rPr>
                <w:lang w:val="ru-RU"/>
              </w:rPr>
              <w:t xml:space="preserve"> потреблении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Default="00703C94" w:rsidP="00E21C2C">
            <w:pPr>
              <w:rPr>
                <w:lang w:val="ru-RU"/>
              </w:rPr>
            </w:pPr>
            <w:r w:rsidRPr="00703C94">
              <w:rPr>
                <w:lang w:val="ru-RU"/>
              </w:rPr>
              <w:t>Пункты 178,186,187 Основных положений функционирования розничных рынков электрической энергии</w:t>
            </w: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Default="00703C94" w:rsidP="00E21C2C">
            <w:pPr>
              <w:rPr>
                <w:lang w:val="ru-RU"/>
              </w:rPr>
            </w:pPr>
          </w:p>
          <w:p w:rsidR="00703C94" w:rsidRPr="00703C94" w:rsidRDefault="00703C94" w:rsidP="00703C94">
            <w:pPr>
              <w:rPr>
                <w:lang w:val="ru-RU"/>
              </w:rPr>
            </w:pPr>
          </w:p>
        </w:tc>
      </w:tr>
      <w:tr w:rsidR="003E65D4" w:rsidRPr="00B30D54" w:rsidTr="00E21C2C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Default="00703C94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 xml:space="preserve">2. Для исполнителей коммунальных услуг и физических лиц, исходя из: </w:t>
            </w:r>
            <w:proofErr w:type="gramStart"/>
            <w:r w:rsidRPr="00703C94">
              <w:rPr>
                <w:lang w:val="ru-RU"/>
              </w:rPr>
              <w:t>-н</w:t>
            </w:r>
            <w:proofErr w:type="gramEnd"/>
            <w:r w:rsidRPr="00703C94">
              <w:rPr>
                <w:lang w:val="ru-RU"/>
              </w:rPr>
              <w:t>ормативов потребления электрической энергии на общедомовые нужды с применением повышающего коэффициента 1,5.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784A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703C94">
            <w:pPr>
              <w:rPr>
                <w:lang w:val="ru-RU"/>
              </w:rPr>
            </w:pPr>
            <w:r w:rsidRPr="00703C94">
              <w:rPr>
                <w:lang w:val="ru-RU"/>
              </w:rPr>
              <w:t xml:space="preserve">Пункт 21 подпункт «з» Правил, обязательных при заключении договоров с </w:t>
            </w:r>
            <w:proofErr w:type="spellStart"/>
            <w:r w:rsidRPr="00703C94">
              <w:rPr>
                <w:lang w:val="ru-RU"/>
              </w:rPr>
              <w:t>ресурсоснабжающи</w:t>
            </w:r>
            <w:proofErr w:type="spellEnd"/>
            <w:r w:rsidRPr="00703C94">
              <w:rPr>
                <w:lang w:val="ru-RU"/>
              </w:rPr>
              <w:t xml:space="preserve"> ми организациями</w:t>
            </w:r>
            <w:r>
              <w:rPr>
                <w:rStyle w:val="a9"/>
                <w:lang w:val="ru-RU"/>
              </w:rPr>
              <w:footnoteReference w:id="4"/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Default="00703C94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gramStart"/>
            <w:r w:rsidRPr="00703C94">
              <w:rPr>
                <w:lang w:val="ru-RU"/>
              </w:rPr>
              <w:t>В отношении приравненных к населению категорий потребителей - определяется исходя из объема,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10, а при отсутствии указанных показаний - на основании показаний расчетного прибора учета за ближайший расчетный период, когда такие показания были представлены, с применением повышающего коэффициента 10</w:t>
            </w:r>
            <w:proofErr w:type="gramEnd"/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784A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703C94">
            <w:pPr>
              <w:rPr>
                <w:lang w:val="ru-RU"/>
              </w:rPr>
            </w:pPr>
          </w:p>
        </w:tc>
      </w:tr>
      <w:tr w:rsidR="003E65D4" w:rsidRPr="00B30D54" w:rsidTr="00E21C2C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4" w:rsidRPr="00B30D54" w:rsidRDefault="003E65D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703C94" w:rsidRPr="00B30D54" w:rsidTr="00703C94">
        <w:trPr>
          <w:tblHeader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Default="00703C94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4.11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C0021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>Выявление факта бездоговорного потребления электроэнергии и составления акта о бездоговорном потреблении электроэнергии.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4" w:rsidRPr="00703C94" w:rsidRDefault="00703C94" w:rsidP="00703C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 xml:space="preserve">Определение объемов бездоговорного потребления электрической энергии потребителем производится за период времени в </w:t>
            </w:r>
            <w:proofErr w:type="gramStart"/>
            <w:r w:rsidRPr="00703C94">
              <w:rPr>
                <w:lang w:val="ru-RU"/>
              </w:rPr>
              <w:t>течение</w:t>
            </w:r>
            <w:proofErr w:type="gramEnd"/>
            <w:r w:rsidRPr="00703C94">
              <w:rPr>
                <w:lang w:val="ru-RU"/>
              </w:rPr>
              <w:t xml:space="preserve"> которого осуществлялось бездоговорное</w:t>
            </w:r>
            <w:r>
              <w:rPr>
                <w:lang w:val="ru-RU"/>
              </w:rPr>
              <w:t xml:space="preserve"> </w:t>
            </w:r>
            <w:r w:rsidRPr="00703C94">
              <w:rPr>
                <w:lang w:val="ru-RU"/>
              </w:rPr>
              <w:t>потребление электрической энергии (но не более, чем за 1 года) расчетным способом исходя из допустимой длительной токовой нагрузки каждого вводного провода (кабеля).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Default="00703C94" w:rsidP="00784AF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Письменно</w:t>
            </w:r>
            <w:proofErr w:type="spellEnd"/>
          </w:p>
          <w:p w:rsidR="00703C94" w:rsidRPr="00703C94" w:rsidRDefault="00703C94" w:rsidP="00703C94">
            <w:pPr>
              <w:jc w:val="right"/>
              <w:rPr>
                <w:lang w:val="ru-RU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E21C2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03C94">
              <w:rPr>
                <w:lang w:val="ru-RU"/>
              </w:rPr>
              <w:t>в течение 2 рабочих дней со дня составления акта о неучтенном потреблении электрической энергии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03C94" w:rsidRPr="00703C94" w:rsidRDefault="00703C94" w:rsidP="00703C94">
            <w:pPr>
              <w:rPr>
                <w:lang w:val="ru-RU"/>
              </w:rPr>
            </w:pPr>
            <w:r w:rsidRPr="00703C94">
              <w:rPr>
                <w:lang w:val="ru-RU"/>
              </w:rPr>
              <w:t>Пункты 186, 189 Основных положений функционирования розничных рынков электрической энергии</w:t>
            </w:r>
          </w:p>
        </w:tc>
      </w:tr>
    </w:tbl>
    <w:p w:rsidR="00B30D54" w:rsidRDefault="00B30D54" w:rsidP="006F31D2">
      <w:pPr>
        <w:widowControl/>
        <w:autoSpaceDE w:val="0"/>
        <w:autoSpaceDN w:val="0"/>
        <w:adjustRightInd w:val="0"/>
        <w:spacing w:before="120"/>
        <w:contextualSpacing/>
        <w:jc w:val="both"/>
        <w:rPr>
          <w:b/>
          <w:sz w:val="26"/>
          <w:szCs w:val="26"/>
          <w:lang w:val="ru-RU"/>
        </w:rPr>
      </w:pPr>
    </w:p>
    <w:p w:rsidR="006F31D2" w:rsidRPr="00FF0940" w:rsidRDefault="006F31D2" w:rsidP="006F31D2">
      <w:pPr>
        <w:widowControl/>
        <w:autoSpaceDE w:val="0"/>
        <w:autoSpaceDN w:val="0"/>
        <w:adjustRightInd w:val="0"/>
        <w:spacing w:before="120"/>
        <w:contextualSpacing/>
        <w:jc w:val="both"/>
        <w:rPr>
          <w:sz w:val="26"/>
          <w:szCs w:val="26"/>
          <w:lang w:val="ru-RU"/>
        </w:rPr>
      </w:pPr>
      <w:r w:rsidRPr="00FF0940">
        <w:rPr>
          <w:b/>
          <w:sz w:val="26"/>
          <w:szCs w:val="26"/>
          <w:lang w:val="ru-RU"/>
        </w:rPr>
        <w:t>Контактная информация для направления обращений:</w:t>
      </w:r>
      <w:r w:rsidRPr="00FF0940">
        <w:rPr>
          <w:sz w:val="26"/>
          <w:szCs w:val="26"/>
          <w:lang w:val="ru-RU"/>
        </w:rPr>
        <w:t xml:space="preserve"> </w:t>
      </w:r>
    </w:p>
    <w:p w:rsidR="009A63DF" w:rsidRPr="00FF0940" w:rsidRDefault="006F31D2">
      <w:pPr>
        <w:rPr>
          <w:rFonts w:ascii="Times New Roman" w:hAnsi="Times New Roman"/>
          <w:sz w:val="24"/>
          <w:szCs w:val="24"/>
          <w:lang w:val="ru-RU"/>
        </w:rPr>
      </w:pPr>
      <w:r w:rsidRPr="00FF0940">
        <w:rPr>
          <w:rFonts w:ascii="Times New Roman" w:hAnsi="Times New Roman"/>
          <w:sz w:val="24"/>
          <w:szCs w:val="24"/>
          <w:lang w:val="ru-RU"/>
        </w:rPr>
        <w:t>ООО «Томские электрические сети»</w:t>
      </w:r>
    </w:p>
    <w:p w:rsidR="006F31D2" w:rsidRPr="00FF0940" w:rsidRDefault="006F31D2" w:rsidP="006F31D2">
      <w:pPr>
        <w:shd w:val="clear" w:color="auto" w:fill="FFFFFF"/>
        <w:ind w:right="-11"/>
        <w:rPr>
          <w:spacing w:val="3"/>
          <w:lang w:val="ru-RU"/>
        </w:rPr>
      </w:pPr>
      <w:r w:rsidRPr="00FF0940">
        <w:rPr>
          <w:spacing w:val="3"/>
          <w:lang w:val="ru-RU"/>
        </w:rPr>
        <w:t xml:space="preserve">634050, </w:t>
      </w:r>
      <w:proofErr w:type="spellStart"/>
      <w:r w:rsidRPr="00FF0940">
        <w:rPr>
          <w:spacing w:val="3"/>
          <w:lang w:val="ru-RU"/>
        </w:rPr>
        <w:t>г</w:t>
      </w:r>
      <w:proofErr w:type="gramStart"/>
      <w:r w:rsidRPr="00FF0940">
        <w:rPr>
          <w:spacing w:val="3"/>
          <w:lang w:val="ru-RU"/>
        </w:rPr>
        <w:t>.Т</w:t>
      </w:r>
      <w:proofErr w:type="gramEnd"/>
      <w:r w:rsidRPr="00FF0940">
        <w:rPr>
          <w:spacing w:val="3"/>
          <w:lang w:val="ru-RU"/>
        </w:rPr>
        <w:t>омск</w:t>
      </w:r>
      <w:proofErr w:type="spellEnd"/>
      <w:r w:rsidRPr="00FF0940">
        <w:rPr>
          <w:spacing w:val="3"/>
          <w:lang w:val="ru-RU"/>
        </w:rPr>
        <w:t xml:space="preserve">, ул. Гагарина 7, оф.203 </w:t>
      </w:r>
    </w:p>
    <w:p w:rsidR="006F31D2" w:rsidRPr="00FF0940" w:rsidRDefault="006F31D2" w:rsidP="006F31D2">
      <w:pPr>
        <w:rPr>
          <w:spacing w:val="3"/>
          <w:lang w:val="ru-RU"/>
        </w:rPr>
      </w:pPr>
      <w:r w:rsidRPr="00FF0940">
        <w:rPr>
          <w:spacing w:val="3"/>
          <w:lang w:val="ru-RU"/>
        </w:rPr>
        <w:t>тел. 8 (3822) 906-131</w:t>
      </w:r>
    </w:p>
    <w:p w:rsidR="006F31D2" w:rsidRPr="00FF0940" w:rsidRDefault="006F31D2" w:rsidP="006F31D2">
      <w:pPr>
        <w:rPr>
          <w:spacing w:val="3"/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r w:rsidRPr="00FF0940">
        <w:rPr>
          <w:rFonts w:ascii="Times New Roman" w:hAnsi="Times New Roman" w:cs="Times New Roman"/>
          <w:sz w:val="24"/>
          <w:szCs w:val="24"/>
        </w:rPr>
        <w:t>www</w:t>
      </w:r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F0940">
        <w:rPr>
          <w:rFonts w:ascii="Times New Roman" w:hAnsi="Times New Roman" w:cs="Times New Roman"/>
          <w:sz w:val="24"/>
          <w:szCs w:val="24"/>
        </w:rPr>
        <w:t>tomseti</w:t>
      </w:r>
      <w:proofErr w:type="spellEnd"/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F094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F31D2" w:rsidRPr="00FF0940" w:rsidRDefault="006F31D2" w:rsidP="006F31D2">
      <w:pPr>
        <w:rPr>
          <w:rStyle w:val="aa"/>
          <w:color w:val="auto"/>
          <w:spacing w:val="3"/>
          <w:lang w:val="ru-RU"/>
        </w:rPr>
      </w:pPr>
      <w:r w:rsidRPr="00FF0940">
        <w:rPr>
          <w:spacing w:val="3"/>
        </w:rPr>
        <w:t>E</w:t>
      </w:r>
      <w:r w:rsidRPr="00FF0940">
        <w:rPr>
          <w:spacing w:val="3"/>
          <w:lang w:val="ru-RU"/>
        </w:rPr>
        <w:t>-</w:t>
      </w:r>
      <w:r w:rsidRPr="00FF0940">
        <w:rPr>
          <w:spacing w:val="3"/>
        </w:rPr>
        <w:t>mail</w:t>
      </w:r>
      <w:r w:rsidRPr="00FF0940">
        <w:rPr>
          <w:spacing w:val="3"/>
          <w:lang w:val="ru-RU"/>
        </w:rPr>
        <w:t xml:space="preserve">: </w:t>
      </w:r>
      <w:hyperlink r:id="rId9" w:history="1">
        <w:r w:rsidRPr="00FF0940">
          <w:rPr>
            <w:rStyle w:val="aa"/>
            <w:color w:val="auto"/>
            <w:spacing w:val="3"/>
          </w:rPr>
          <w:t>tes</w:t>
        </w:r>
        <w:r w:rsidRPr="00FF0940">
          <w:rPr>
            <w:rStyle w:val="aa"/>
            <w:color w:val="auto"/>
            <w:spacing w:val="3"/>
            <w:lang w:val="ru-RU"/>
          </w:rPr>
          <w:t>012016@</w:t>
        </w:r>
        <w:r w:rsidRPr="00FF0940">
          <w:rPr>
            <w:rStyle w:val="aa"/>
            <w:color w:val="auto"/>
            <w:spacing w:val="3"/>
          </w:rPr>
          <w:t>mail</w:t>
        </w:r>
        <w:r w:rsidRPr="00FF0940">
          <w:rPr>
            <w:rStyle w:val="aa"/>
            <w:color w:val="auto"/>
            <w:spacing w:val="3"/>
            <w:lang w:val="ru-RU"/>
          </w:rPr>
          <w:t>.</w:t>
        </w:r>
        <w:proofErr w:type="spellStart"/>
        <w:r w:rsidRPr="00FF0940">
          <w:rPr>
            <w:rStyle w:val="aa"/>
            <w:color w:val="auto"/>
            <w:spacing w:val="3"/>
          </w:rPr>
          <w:t>ru</w:t>
        </w:r>
        <w:proofErr w:type="spellEnd"/>
      </w:hyperlink>
    </w:p>
    <w:p w:rsidR="006F31D2" w:rsidRPr="00FF0940" w:rsidRDefault="006F31D2" w:rsidP="00084FFC">
      <w:pPr>
        <w:spacing w:line="273" w:lineRule="exact"/>
        <w:ind w:right="7008"/>
        <w:rPr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t>Режим работы: ПН-ПТ с 8:00 до 17:00, обед с 12.00 до 13.00</w:t>
      </w:r>
    </w:p>
    <w:sectPr w:rsidR="006F31D2" w:rsidRPr="00FF0940" w:rsidSect="00AD76B9">
      <w:pgSz w:w="16846" w:h="11918" w:orient="landscape"/>
      <w:pgMar w:top="499" w:right="499" w:bottom="499" w:left="4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09" w:rsidRDefault="00672A09" w:rsidP="00672A09">
      <w:r>
        <w:separator/>
      </w:r>
    </w:p>
  </w:endnote>
  <w:endnote w:type="continuationSeparator" w:id="0">
    <w:p w:rsidR="00672A09" w:rsidRDefault="00672A09" w:rsidP="006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09" w:rsidRDefault="00672A09" w:rsidP="00672A09">
      <w:r>
        <w:separator/>
      </w:r>
    </w:p>
  </w:footnote>
  <w:footnote w:type="continuationSeparator" w:id="0">
    <w:p w:rsidR="00672A09" w:rsidRDefault="00672A09" w:rsidP="00672A09">
      <w:r>
        <w:continuationSeparator/>
      </w:r>
    </w:p>
  </w:footnote>
  <w:footnote w:id="1">
    <w:p w:rsidR="001E58B0" w:rsidRPr="001E58B0" w:rsidRDefault="001E58B0">
      <w:pPr>
        <w:pStyle w:val="a7"/>
        <w:rPr>
          <w:lang w:val="ru-RU"/>
        </w:rPr>
      </w:pPr>
      <w:r>
        <w:rPr>
          <w:rStyle w:val="a9"/>
        </w:rPr>
        <w:footnoteRef/>
      </w:r>
      <w:r w:rsidRPr="001E58B0">
        <w:rPr>
          <w:lang w:val="ru-RU"/>
        </w:rPr>
        <w:t xml:space="preserve"> </w:t>
      </w:r>
      <w:r w:rsidRPr="001E58B0">
        <w:rPr>
          <w:lang w:val="ru-RU"/>
        </w:rPr>
        <w:t>Основные положения функционирования розничных рынков электрической энергии, утвержденные постановлением Правительства РФ от 04.05.2012 г. № 442</w:t>
      </w:r>
    </w:p>
  </w:footnote>
  <w:footnote w:id="2">
    <w:p w:rsidR="00703C94" w:rsidRPr="00B76892" w:rsidRDefault="00703C94" w:rsidP="00703C94">
      <w:pPr>
        <w:pStyle w:val="a7"/>
        <w:rPr>
          <w:lang w:val="ru-RU"/>
        </w:rPr>
      </w:pPr>
      <w:r>
        <w:rPr>
          <w:rStyle w:val="a9"/>
        </w:rPr>
        <w:footnoteRef/>
      </w:r>
      <w:r w:rsidRPr="00B76892">
        <w:rPr>
          <w:lang w:val="ru-RU"/>
        </w:rPr>
        <w:t xml:space="preserve">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г. №354</w:t>
      </w:r>
    </w:p>
  </w:footnote>
  <w:footnote w:id="3">
    <w:p w:rsidR="00C00216" w:rsidRPr="00C00216" w:rsidRDefault="00C00216">
      <w:pPr>
        <w:pStyle w:val="a7"/>
        <w:rPr>
          <w:lang w:val="ru-RU"/>
        </w:rPr>
      </w:pPr>
      <w:r>
        <w:rPr>
          <w:rStyle w:val="a9"/>
        </w:rPr>
        <w:footnoteRef/>
      </w:r>
      <w:r w:rsidRPr="00C00216">
        <w:rPr>
          <w:lang w:val="ru-RU"/>
        </w:rPr>
        <w:t xml:space="preserve"> </w:t>
      </w:r>
      <w:r w:rsidRPr="00C00216">
        <w:rPr>
          <w:lang w:val="ru-RU"/>
        </w:rPr>
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C00216">
        <w:rPr>
          <w:lang w:val="ru-RU"/>
        </w:rPr>
        <w:t>ресурсоснабжающими</w:t>
      </w:r>
      <w:proofErr w:type="spellEnd"/>
      <w:r w:rsidRPr="00C00216">
        <w:rPr>
          <w:lang w:val="ru-RU"/>
        </w:rPr>
        <w:t xml:space="preserve"> организациями, утвержденные постановлением Правительства РФ от 14.02.2012 г. № 124</w:t>
      </w:r>
    </w:p>
  </w:footnote>
  <w:footnote w:id="4">
    <w:p w:rsidR="00703C94" w:rsidRPr="00703C94" w:rsidRDefault="00703C94">
      <w:pPr>
        <w:pStyle w:val="a7"/>
        <w:rPr>
          <w:lang w:val="ru-RU"/>
        </w:rPr>
      </w:pPr>
      <w:r>
        <w:rPr>
          <w:rStyle w:val="a9"/>
        </w:rPr>
        <w:footnoteRef/>
      </w:r>
      <w:r w:rsidRPr="00703C94">
        <w:rPr>
          <w:lang w:val="ru-RU"/>
        </w:rPr>
        <w:t xml:space="preserve"> </w:t>
      </w:r>
      <w:r w:rsidRPr="00703C94">
        <w:rPr>
          <w:lang w:val="ru-RU"/>
        </w:rPr>
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703C94">
        <w:rPr>
          <w:lang w:val="ru-RU"/>
        </w:rPr>
        <w:t>ресурсоснабжающими</w:t>
      </w:r>
      <w:proofErr w:type="spellEnd"/>
      <w:r w:rsidRPr="00703C94">
        <w:rPr>
          <w:lang w:val="ru-RU"/>
        </w:rPr>
        <w:t xml:space="preserve"> организациями, утвержденные постановлением Правительства РФ № 124 от 04.02.2012 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370"/>
    <w:multiLevelType w:val="hybridMultilevel"/>
    <w:tmpl w:val="C04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DF"/>
    <w:rsid w:val="00084FFC"/>
    <w:rsid w:val="001857EE"/>
    <w:rsid w:val="001E58B0"/>
    <w:rsid w:val="001F7403"/>
    <w:rsid w:val="00226570"/>
    <w:rsid w:val="00244A9A"/>
    <w:rsid w:val="00246872"/>
    <w:rsid w:val="002562CB"/>
    <w:rsid w:val="002657E9"/>
    <w:rsid w:val="002A322C"/>
    <w:rsid w:val="002D1BE7"/>
    <w:rsid w:val="003D2B4C"/>
    <w:rsid w:val="003E65D4"/>
    <w:rsid w:val="004A7362"/>
    <w:rsid w:val="004C1088"/>
    <w:rsid w:val="00534F63"/>
    <w:rsid w:val="00650DD7"/>
    <w:rsid w:val="00672A09"/>
    <w:rsid w:val="006D0D25"/>
    <w:rsid w:val="006F31D2"/>
    <w:rsid w:val="00703C94"/>
    <w:rsid w:val="00784AF0"/>
    <w:rsid w:val="007E41C5"/>
    <w:rsid w:val="00800B5E"/>
    <w:rsid w:val="008173CB"/>
    <w:rsid w:val="00992B32"/>
    <w:rsid w:val="009A63DF"/>
    <w:rsid w:val="009B7A21"/>
    <w:rsid w:val="00A10004"/>
    <w:rsid w:val="00A9460A"/>
    <w:rsid w:val="00AD76B9"/>
    <w:rsid w:val="00B30D54"/>
    <w:rsid w:val="00B76892"/>
    <w:rsid w:val="00B77D69"/>
    <w:rsid w:val="00B80C06"/>
    <w:rsid w:val="00BC3E12"/>
    <w:rsid w:val="00C00216"/>
    <w:rsid w:val="00C31E75"/>
    <w:rsid w:val="00C543F0"/>
    <w:rsid w:val="00C71C63"/>
    <w:rsid w:val="00D71EE7"/>
    <w:rsid w:val="00E64C0B"/>
    <w:rsid w:val="00ED59A4"/>
    <w:rsid w:val="00F57D9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72A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2A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2A09"/>
    <w:rPr>
      <w:vertAlign w:val="superscript"/>
    </w:rPr>
  </w:style>
  <w:style w:type="character" w:styleId="aa">
    <w:name w:val="Hyperlink"/>
    <w:rsid w:val="006F31D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F31D2"/>
  </w:style>
  <w:style w:type="paragraph" w:customStyle="1" w:styleId="ab">
    <w:name w:val="Нормальный (таблица)"/>
    <w:basedOn w:val="a"/>
    <w:next w:val="a"/>
    <w:uiPriority w:val="99"/>
    <w:rsid w:val="00A9460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72A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2A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2A09"/>
    <w:rPr>
      <w:vertAlign w:val="superscript"/>
    </w:rPr>
  </w:style>
  <w:style w:type="character" w:styleId="aa">
    <w:name w:val="Hyperlink"/>
    <w:rsid w:val="006F31D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F31D2"/>
  </w:style>
  <w:style w:type="paragraph" w:customStyle="1" w:styleId="ab">
    <w:name w:val="Нормальный (таблица)"/>
    <w:basedOn w:val="a"/>
    <w:next w:val="a"/>
    <w:uiPriority w:val="99"/>
    <w:rsid w:val="00A9460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s01201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41FF-9A5F-4C6B-B3D7-D50019F3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Юрий</cp:lastModifiedBy>
  <cp:revision>2</cp:revision>
  <dcterms:created xsi:type="dcterms:W3CDTF">2021-04-01T06:35:00Z</dcterms:created>
  <dcterms:modified xsi:type="dcterms:W3CDTF">2021-04-01T06:35:00Z</dcterms:modified>
</cp:coreProperties>
</file>